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74F" w:rsidRDefault="0036774F">
      <w:pPr>
        <w:rPr>
          <w:noProof/>
          <w:lang w:eastAsia="en-GB"/>
        </w:rPr>
      </w:pPr>
    </w:p>
    <w:p w:rsidR="0036774F" w:rsidRDefault="0036774F">
      <w:pPr>
        <w:rPr>
          <w:rFonts w:cstheme="minorHAnsi"/>
          <w:b/>
          <w:sz w:val="20"/>
          <w:u w:val="single"/>
        </w:rPr>
      </w:pPr>
      <w:r>
        <w:rPr>
          <w:rFonts w:cstheme="minorHAnsi"/>
          <w:b/>
          <w:sz w:val="20"/>
          <w:u w:val="single"/>
        </w:rPr>
        <w:t xml:space="preserve">Monday </w:t>
      </w:r>
    </w:p>
    <w:p w:rsidR="0036774F" w:rsidRPr="0036774F" w:rsidRDefault="0036774F">
      <w:pPr>
        <w:rPr>
          <w:noProof/>
          <w:lang w:eastAsia="en-GB"/>
        </w:rPr>
      </w:pPr>
      <w:bookmarkStart w:id="0" w:name="_GoBack"/>
      <w:r w:rsidRPr="0036774F">
        <w:rPr>
          <w:rFonts w:cstheme="minorHAnsi"/>
          <w:b/>
          <w:sz w:val="20"/>
        </w:rPr>
        <w:t>Whole class investigation using the ‘Multiplying and dividing by 10 and 100’ grid.</w:t>
      </w:r>
    </w:p>
    <w:bookmarkEnd w:id="0"/>
    <w:p w:rsidR="00DE216B" w:rsidRDefault="0036774F">
      <w:r>
        <w:rPr>
          <w:noProof/>
          <w:lang w:eastAsia="en-GB"/>
        </w:rPr>
        <w:drawing>
          <wp:inline distT="0" distB="0" distL="0" distR="0" wp14:anchorId="2DF75FF0" wp14:editId="28FAF269">
            <wp:extent cx="5731510" cy="40151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74F" w:rsidRDefault="0036774F"/>
    <w:p w:rsidR="0036774F" w:rsidRPr="0036774F" w:rsidRDefault="0036774F">
      <w:pPr>
        <w:rPr>
          <w:rFonts w:ascii="Calibri" w:hAnsi="Calibri" w:cs="Calibri"/>
          <w:sz w:val="20"/>
        </w:rPr>
      </w:pPr>
      <w:r w:rsidRPr="006C77CC">
        <w:rPr>
          <w:rFonts w:ascii="Calibri" w:hAnsi="Calibri" w:cs="Calibri"/>
          <w:b/>
          <w:color w:val="9900FF"/>
          <w:sz w:val="20"/>
        </w:rPr>
        <w:t>Purple</w:t>
      </w:r>
      <w:r w:rsidRPr="006C77CC">
        <w:rPr>
          <w:rFonts w:ascii="Calibri" w:hAnsi="Calibri" w:cs="Calibri"/>
          <w:color w:val="9900FF"/>
          <w:sz w:val="20"/>
        </w:rPr>
        <w:t xml:space="preserve">: </w:t>
      </w:r>
      <w:r w:rsidRPr="006C77CC">
        <w:rPr>
          <w:rFonts w:ascii="Calibri" w:hAnsi="Calibri" w:cs="Calibri"/>
          <w:sz w:val="20"/>
        </w:rPr>
        <w:t>Solve the ‘thinking of a number’ problem below, then create three more like it.</w:t>
      </w:r>
    </w:p>
    <w:p w:rsidR="0036774F" w:rsidRDefault="0036774F">
      <w:r w:rsidRPr="006C77CC">
        <w:rPr>
          <w:rFonts w:ascii="Calibri" w:hAnsi="Calibri" w:cs="Calibri"/>
          <w:noProof/>
          <w:color w:val="9900FF"/>
          <w:sz w:val="20"/>
          <w:lang w:eastAsia="en-GB"/>
        </w:rPr>
        <w:drawing>
          <wp:inline distT="0" distB="0" distL="0" distR="0" wp14:anchorId="76986FD7" wp14:editId="51078CF5">
            <wp:extent cx="3486150" cy="20408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08380" cy="205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77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74F"/>
    <w:rsid w:val="0036774F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27771"/>
  <w15:chartTrackingRefBased/>
  <w15:docId w15:val="{E46040C2-005F-4598-A063-F94FF895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493200-C65C-4CAA-BCC7-04E5A0E124F6}"/>
</file>

<file path=customXml/itemProps2.xml><?xml version="1.0" encoding="utf-8"?>
<ds:datastoreItem xmlns:ds="http://schemas.openxmlformats.org/officeDocument/2006/customXml" ds:itemID="{0C168AD4-74C2-4E2A-BE14-7AB00F0157CF}"/>
</file>

<file path=customXml/itemProps3.xml><?xml version="1.0" encoding="utf-8"?>
<ds:datastoreItem xmlns:ds="http://schemas.openxmlformats.org/officeDocument/2006/customXml" ds:itemID="{9D4124BF-3BF5-465F-A94F-88DEF80B03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2021-01-12T18:10:00Z</dcterms:created>
  <dcterms:modified xsi:type="dcterms:W3CDTF">2021-01-12T18:15:00Z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